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6E758A" w:rsidRPr="00666DAC" w:rsidRDefault="000769C8" w:rsidP="00DE13B8">
      <w:pPr>
        <w:rPr>
          <w:rFonts w:ascii="Arial" w:hAnsi="Arial" w:cs="Arial"/>
          <w:b/>
          <w:bCs/>
          <w:sz w:val="22"/>
          <w:szCs w:val="22"/>
        </w:rPr>
      </w:pPr>
      <w:r>
        <w:rPr>
          <w:rFonts w:ascii="Arial" w:hAnsi="Arial" w:cs="Arial"/>
          <w:b/>
          <w:bCs/>
          <w:sz w:val="22"/>
          <w:szCs w:val="22"/>
        </w:rPr>
        <w:t>July</w:t>
      </w:r>
      <w:r w:rsidR="00210DB8" w:rsidRPr="00666DAC">
        <w:rPr>
          <w:rFonts w:ascii="Arial" w:hAnsi="Arial" w:cs="Arial"/>
          <w:b/>
          <w:bCs/>
          <w:sz w:val="22"/>
          <w:szCs w:val="22"/>
        </w:rPr>
        <w:t xml:space="preserve"> 2016</w:t>
      </w:r>
    </w:p>
    <w:p w:rsidR="00E962CC" w:rsidRPr="00666DAC" w:rsidRDefault="006E758A" w:rsidP="005537D2">
      <w:pPr>
        <w:rPr>
          <w:rFonts w:ascii="Arial" w:hAnsi="Arial" w:cs="Arial"/>
          <w:b/>
          <w:bCs/>
          <w:sz w:val="22"/>
          <w:szCs w:val="22"/>
        </w:rPr>
      </w:pPr>
      <w:r w:rsidRPr="00666DAC">
        <w:rPr>
          <w:rFonts w:ascii="Arial" w:hAnsi="Arial" w:cs="Arial"/>
          <w:b/>
          <w:bCs/>
          <w:sz w:val="22"/>
          <w:szCs w:val="22"/>
        </w:rPr>
        <w:t>Prepared By:</w:t>
      </w:r>
      <w:r w:rsidR="005537D2" w:rsidRPr="00666DAC">
        <w:rPr>
          <w:rFonts w:ascii="Arial" w:hAnsi="Arial" w:cs="Arial"/>
          <w:b/>
          <w:bCs/>
          <w:sz w:val="22"/>
          <w:szCs w:val="22"/>
        </w:rPr>
        <w:t xml:space="preserve"> Lisa Gardner, South West</w:t>
      </w:r>
      <w:r w:rsidR="00A422B0" w:rsidRPr="00666DAC">
        <w:rPr>
          <w:rFonts w:ascii="Arial" w:hAnsi="Arial" w:cs="Arial"/>
          <w:b/>
          <w:bCs/>
          <w:sz w:val="22"/>
          <w:szCs w:val="22"/>
        </w:rPr>
        <w:t xml:space="preserve"> LHIN</w:t>
      </w:r>
      <w:r w:rsidR="005537D2" w:rsidRPr="00666DAC">
        <w:rPr>
          <w:rFonts w:ascii="Arial" w:hAnsi="Arial" w:cs="Arial"/>
          <w:b/>
          <w:bCs/>
          <w:sz w:val="22"/>
          <w:szCs w:val="22"/>
        </w:rPr>
        <w:t xml:space="preserve"> Hospice Palliative Care </w:t>
      </w:r>
      <w:r w:rsidR="00A422B0" w:rsidRPr="00666DAC">
        <w:rPr>
          <w:rFonts w:ascii="Arial" w:hAnsi="Arial" w:cs="Arial"/>
          <w:b/>
          <w:bCs/>
          <w:sz w:val="22"/>
          <w:szCs w:val="22"/>
        </w:rPr>
        <w:t xml:space="preserve">Network </w:t>
      </w:r>
      <w:r w:rsidR="005537D2" w:rsidRPr="00666DAC">
        <w:rPr>
          <w:rFonts w:ascii="Arial" w:hAnsi="Arial" w:cs="Arial"/>
          <w:b/>
          <w:bCs/>
          <w:sz w:val="22"/>
          <w:szCs w:val="22"/>
        </w:rPr>
        <w:t xml:space="preserve">Lead </w:t>
      </w:r>
    </w:p>
    <w:p w:rsidR="000704DE" w:rsidRPr="00666DAC" w:rsidRDefault="000704DE" w:rsidP="009B28A3">
      <w:pPr>
        <w:rPr>
          <w:rFonts w:ascii="Arial" w:hAnsi="Arial" w:cs="Arial"/>
          <w:b/>
          <w:bCs/>
          <w:sz w:val="22"/>
          <w:szCs w:val="22"/>
        </w:rPr>
      </w:pPr>
    </w:p>
    <w:p w:rsidR="00F1684D" w:rsidRPr="00666DAC" w:rsidRDefault="00F1684D" w:rsidP="002E21DC">
      <w:pPr>
        <w:ind w:left="360"/>
        <w:rPr>
          <w:rFonts w:ascii="Arial" w:hAnsi="Arial" w:cs="Arial"/>
          <w:b/>
          <w:bCs/>
          <w:sz w:val="22"/>
          <w:szCs w:val="22"/>
        </w:rPr>
      </w:pPr>
    </w:p>
    <w:p w:rsidR="00483340" w:rsidRPr="00666DAC" w:rsidRDefault="00483340" w:rsidP="00483340">
      <w:pPr>
        <w:rPr>
          <w:rFonts w:ascii="Arial" w:hAnsi="Arial" w:cs="Arial"/>
          <w:b/>
          <w:bCs/>
          <w:sz w:val="22"/>
          <w:szCs w:val="22"/>
          <w:u w:val="single"/>
        </w:rPr>
      </w:pPr>
      <w:r w:rsidRPr="00666DAC">
        <w:rPr>
          <w:rFonts w:ascii="Arial" w:hAnsi="Arial" w:cs="Arial"/>
          <w:b/>
          <w:bCs/>
          <w:sz w:val="22"/>
          <w:szCs w:val="22"/>
          <w:u w:val="single"/>
        </w:rPr>
        <w:t>HPC Collaborative Activities</w:t>
      </w:r>
    </w:p>
    <w:p w:rsidR="00972818" w:rsidRPr="00666DAC" w:rsidRDefault="00972818" w:rsidP="00483340">
      <w:pPr>
        <w:rPr>
          <w:rFonts w:ascii="Arial" w:hAnsi="Arial" w:cs="Arial"/>
          <w:b/>
          <w:bCs/>
          <w:sz w:val="22"/>
          <w:szCs w:val="22"/>
          <w:u w:val="single"/>
        </w:rPr>
      </w:pPr>
    </w:p>
    <w:p w:rsidR="000769C8" w:rsidRDefault="00972818" w:rsidP="000769C8">
      <w:pPr>
        <w:spacing w:line="276" w:lineRule="auto"/>
        <w:rPr>
          <w:rFonts w:ascii="Arial" w:hAnsi="Arial" w:cs="Arial"/>
          <w:b/>
        </w:rPr>
      </w:pPr>
      <w:r w:rsidRPr="00666DAC">
        <w:rPr>
          <w:rFonts w:ascii="Arial" w:hAnsi="Arial" w:cs="Arial"/>
          <w:bCs/>
          <w:sz w:val="22"/>
          <w:szCs w:val="22"/>
        </w:rPr>
        <w:t xml:space="preserve">The South West LHIN HPC </w:t>
      </w:r>
      <w:proofErr w:type="spellStart"/>
      <w:r w:rsidR="000769C8">
        <w:rPr>
          <w:rFonts w:ascii="Arial" w:hAnsi="Arial" w:cs="Arial"/>
          <w:bCs/>
          <w:sz w:val="22"/>
          <w:szCs w:val="22"/>
        </w:rPr>
        <w:t>Collaboratives</w:t>
      </w:r>
      <w:proofErr w:type="spellEnd"/>
      <w:r w:rsidR="000769C8">
        <w:rPr>
          <w:rFonts w:ascii="Arial" w:hAnsi="Arial" w:cs="Arial"/>
          <w:bCs/>
          <w:sz w:val="22"/>
          <w:szCs w:val="22"/>
        </w:rPr>
        <w:t xml:space="preserve"> have identified sustainable change ideas ready to be spread to other sub-regions and are in the process of implementing locally.</w:t>
      </w:r>
      <w:r w:rsidR="000769C8" w:rsidRPr="000769C8">
        <w:rPr>
          <w:rFonts w:ascii="Arial" w:hAnsi="Arial" w:cs="Arial"/>
          <w:b/>
        </w:rPr>
        <w:t xml:space="preserve"> </w:t>
      </w:r>
    </w:p>
    <w:p w:rsidR="000769C8" w:rsidRDefault="000769C8" w:rsidP="000769C8">
      <w:pPr>
        <w:spacing w:line="276" w:lineRule="auto"/>
        <w:rPr>
          <w:rFonts w:ascii="Arial" w:hAnsi="Arial" w:cs="Arial"/>
          <w:b/>
        </w:rPr>
      </w:pPr>
    </w:p>
    <w:p w:rsidR="000769C8" w:rsidRDefault="000769C8" w:rsidP="000769C8">
      <w:pPr>
        <w:spacing w:line="276" w:lineRule="auto"/>
        <w:rPr>
          <w:rFonts w:ascii="Arial" w:hAnsi="Arial" w:cs="Arial"/>
          <w:b/>
        </w:rPr>
      </w:pPr>
      <w:r>
        <w:rPr>
          <w:rFonts w:ascii="Arial" w:hAnsi="Arial" w:cs="Arial"/>
          <w:b/>
        </w:rPr>
        <w:t>Sub-Region Residential Hospice Planning</w:t>
      </w:r>
    </w:p>
    <w:p w:rsidR="000769C8" w:rsidRPr="00571906" w:rsidRDefault="000769C8" w:rsidP="000769C8">
      <w:pPr>
        <w:jc w:val="both"/>
        <w:rPr>
          <w:rFonts w:ascii="Arial" w:hAnsi="Arial" w:cs="Arial"/>
        </w:rPr>
      </w:pPr>
      <w:r w:rsidRPr="00571906">
        <w:rPr>
          <w:rFonts w:ascii="Arial" w:hAnsi="Arial" w:cs="Arial"/>
        </w:rPr>
        <w:t>Grey Bruce</w:t>
      </w:r>
    </w:p>
    <w:p w:rsidR="000769C8" w:rsidRPr="00571906" w:rsidRDefault="000769C8" w:rsidP="000769C8">
      <w:pPr>
        <w:jc w:val="both"/>
        <w:rPr>
          <w:rFonts w:ascii="Arial" w:hAnsi="Arial" w:cs="Arial"/>
        </w:rPr>
      </w:pPr>
      <w:r w:rsidRPr="00571906">
        <w:rPr>
          <w:rFonts w:ascii="Arial" w:hAnsi="Arial" w:cs="Arial"/>
        </w:rPr>
        <w:t>Community engagement in the proposed expansion of Grey Bruce Residential Hospice continues to be evident. The HPC Leadership Committee will focus their efforts on evidence-based decision making as recommendations for Residential Hospice Capacity expansion are considered across the South West. The establishment of the Ontario Palliative Care Network will play a strategic role in guiding Provincial recommendations for the proposed 200 beds being considered for Residential Hospice.</w:t>
      </w:r>
    </w:p>
    <w:p w:rsidR="000769C8" w:rsidRPr="00571906" w:rsidRDefault="000769C8" w:rsidP="000769C8">
      <w:pPr>
        <w:jc w:val="both"/>
        <w:rPr>
          <w:rFonts w:ascii="Arial" w:hAnsi="Arial" w:cs="Arial"/>
        </w:rPr>
      </w:pPr>
      <w:r w:rsidRPr="00571906">
        <w:rPr>
          <w:rFonts w:ascii="Arial" w:hAnsi="Arial" w:cs="Arial"/>
        </w:rPr>
        <w:t>The Grey Bruce Collaborative has established a Residential Hospice Subcommittee to begin development of a Grey Bruce solution for Residential Hospice expansion. The subcommittee will engage with local community stakeholders who have identified interest in Residential Hospice Capacity to ensure that if RH capacity is expanded in the future in Grey Bruce, a model to meet the needs of both counties would be established.</w:t>
      </w:r>
    </w:p>
    <w:p w:rsidR="000769C8" w:rsidRPr="00571906" w:rsidRDefault="000769C8" w:rsidP="000769C8">
      <w:pPr>
        <w:spacing w:line="276" w:lineRule="auto"/>
        <w:rPr>
          <w:rFonts w:ascii="Arial" w:hAnsi="Arial" w:cs="Arial"/>
        </w:rPr>
      </w:pPr>
      <w:r w:rsidRPr="00571906">
        <w:rPr>
          <w:rFonts w:ascii="Arial" w:hAnsi="Arial" w:cs="Arial"/>
        </w:rPr>
        <w:t xml:space="preserve">At this point the communities of </w:t>
      </w:r>
      <w:proofErr w:type="spellStart"/>
      <w:r w:rsidRPr="00571906">
        <w:rPr>
          <w:rFonts w:ascii="Arial" w:hAnsi="Arial" w:cs="Arial"/>
        </w:rPr>
        <w:t>Kingcardine</w:t>
      </w:r>
      <w:proofErr w:type="spellEnd"/>
      <w:r w:rsidRPr="00571906">
        <w:rPr>
          <w:rFonts w:ascii="Arial" w:hAnsi="Arial" w:cs="Arial"/>
        </w:rPr>
        <w:t>, Hanover, Walkerton and Brockville have expressed interest in Residential Hospice capacity. The RH Subcommittee will continue to work under the presumption that the Owen Sound Residential Hospice will gain 2 beds and be an 8 bed RH with a 4 bed satellite site operating in Grey Bruce.</w:t>
      </w:r>
    </w:p>
    <w:p w:rsidR="000769C8" w:rsidRPr="00571906" w:rsidRDefault="000769C8" w:rsidP="000769C8">
      <w:pPr>
        <w:spacing w:line="276" w:lineRule="auto"/>
        <w:ind w:left="360"/>
        <w:rPr>
          <w:rFonts w:ascii="Arial" w:hAnsi="Arial" w:cs="Arial"/>
        </w:rPr>
      </w:pPr>
    </w:p>
    <w:p w:rsidR="000769C8" w:rsidRPr="00571906" w:rsidRDefault="000769C8" w:rsidP="000769C8">
      <w:pPr>
        <w:spacing w:line="276" w:lineRule="auto"/>
        <w:rPr>
          <w:rFonts w:ascii="Arial" w:hAnsi="Arial" w:cs="Arial"/>
        </w:rPr>
      </w:pPr>
      <w:r w:rsidRPr="00571906">
        <w:rPr>
          <w:rFonts w:ascii="Arial" w:hAnsi="Arial" w:cs="Arial"/>
        </w:rPr>
        <w:t>Huron Perth</w:t>
      </w:r>
    </w:p>
    <w:p w:rsidR="000769C8" w:rsidRDefault="000769C8" w:rsidP="000769C8">
      <w:pPr>
        <w:spacing w:line="276" w:lineRule="auto"/>
        <w:rPr>
          <w:rFonts w:ascii="Arial" w:hAnsi="Arial" w:cs="Arial"/>
        </w:rPr>
      </w:pPr>
      <w:r w:rsidRPr="00571906">
        <w:rPr>
          <w:rFonts w:ascii="Arial" w:hAnsi="Arial" w:cs="Arial"/>
        </w:rPr>
        <w:t>Based on the South West HPC Capacity Planning Report and the identification of the gap between current capacity and the future state target for deaths supported in residential hospice beds, the South West LHIN and the HPC Leadership Committee agrees that Huron Perth needs residential hospice capacity as part of the continuum of care. The Huron Perth RH Subcommittee is committed to establishing a unified solution for all of Huron Perth to be developed under the guidance and leadership of the Collaborative. The Collaborative through its subcommittee in partnership with the Stratford Perth RH Steering Committee and the Huron Steering Committee are responsible for providing assurance that an engaged process has been conducted for all of Huron and Perth inclusive of other communities that have expressed desire to grow residential hospice capacity and that a decentralized or satellite model has been considered. The Residential Hospice Subcommittee has met with South Huron to ensure that clear messaging in regards to process and the Huron Perth Solution has been established. The RH Subcommittee has developed an RFP for a commissioned report to support the Huron Perth solution moving forward.</w:t>
      </w:r>
    </w:p>
    <w:p w:rsidR="000769C8" w:rsidRPr="00571906" w:rsidRDefault="000769C8" w:rsidP="000769C8">
      <w:pPr>
        <w:jc w:val="both"/>
        <w:rPr>
          <w:rFonts w:ascii="Arial" w:hAnsi="Arial" w:cs="Arial"/>
        </w:rPr>
      </w:pPr>
    </w:p>
    <w:p w:rsidR="000769C8" w:rsidRPr="00571906" w:rsidRDefault="000769C8" w:rsidP="000769C8">
      <w:pPr>
        <w:jc w:val="both"/>
        <w:rPr>
          <w:rFonts w:ascii="Arial" w:hAnsi="Arial" w:cs="Arial"/>
        </w:rPr>
      </w:pPr>
      <w:r w:rsidRPr="00571906">
        <w:rPr>
          <w:rFonts w:ascii="Arial" w:hAnsi="Arial" w:cs="Arial"/>
        </w:rPr>
        <w:t>Elgin</w:t>
      </w:r>
    </w:p>
    <w:p w:rsidR="000769C8" w:rsidRPr="00571906" w:rsidRDefault="000769C8" w:rsidP="000769C8">
      <w:pPr>
        <w:jc w:val="both"/>
        <w:rPr>
          <w:rFonts w:ascii="Arial" w:hAnsi="Arial" w:cs="Arial"/>
        </w:rPr>
      </w:pPr>
      <w:r w:rsidRPr="00571906">
        <w:rPr>
          <w:rFonts w:ascii="Arial" w:hAnsi="Arial" w:cs="Arial"/>
        </w:rPr>
        <w:t>The HPC Elgin Collaborative has also established a small subcommittee to begin looking at the future RH capacity needs in Elgin County. The Subcommittee has representation from East Elgin, West Elgin and Central Elgin. Serenity House in St Thomas has developed a draft proposal for development of a Residential Hospice in Elgin and the subcommittee will be reviewing the proposal over the summer. In the meantime, the Collaborative is focusing on the use of current resources for RH in the South West including Sakura House in Oxford and St. Joseph’s RH in London. The RH Subcommittee will be issuing an RFP for a feasibility study to be completed over the next year to explore sustainable models for RH Capacity in Elgin.</w:t>
      </w:r>
    </w:p>
    <w:p w:rsidR="000769C8" w:rsidRPr="00571906" w:rsidRDefault="000769C8" w:rsidP="000769C8">
      <w:pPr>
        <w:jc w:val="both"/>
        <w:rPr>
          <w:rFonts w:ascii="Arial" w:hAnsi="Arial" w:cs="Arial"/>
        </w:rPr>
      </w:pPr>
      <w:r w:rsidRPr="00571906">
        <w:rPr>
          <w:rFonts w:ascii="Arial" w:hAnsi="Arial" w:cs="Arial"/>
        </w:rPr>
        <w:t>London Middlesex</w:t>
      </w:r>
    </w:p>
    <w:p w:rsidR="00266EBD" w:rsidRDefault="000769C8" w:rsidP="000769C8">
      <w:pPr>
        <w:rPr>
          <w:rFonts w:ascii="Arial" w:hAnsi="Arial" w:cs="Arial"/>
        </w:rPr>
      </w:pPr>
      <w:r w:rsidRPr="00571906">
        <w:rPr>
          <w:rFonts w:ascii="Arial" w:hAnsi="Arial" w:cs="Arial"/>
        </w:rPr>
        <w:t>The London Middlesex Collaborative has identified the need for future increased RH Capacity as identified in the Capacity Planning Report. The transition of palliative care beds from LHSC to Parkwood Hospital will begin to establish an aligned approach to palliative care. The London Middlesex Collaborative will establish an RH Subcommittee in the future to review future state RH Capacity.</w:t>
      </w:r>
    </w:p>
    <w:p w:rsidR="000769C8" w:rsidRPr="00666DAC" w:rsidRDefault="000769C8" w:rsidP="000769C8">
      <w:pPr>
        <w:rPr>
          <w:rFonts w:ascii="Arial" w:hAnsi="Arial" w:cs="Arial"/>
          <w:b/>
          <w:bCs/>
          <w:sz w:val="22"/>
          <w:szCs w:val="22"/>
          <w:u w:val="single"/>
        </w:rPr>
      </w:pPr>
    </w:p>
    <w:p w:rsidR="00972818" w:rsidRPr="00666DAC" w:rsidRDefault="00972818" w:rsidP="00961717">
      <w:pPr>
        <w:rPr>
          <w:rFonts w:ascii="Arial" w:hAnsi="Arial" w:cs="Arial"/>
          <w:sz w:val="22"/>
          <w:szCs w:val="22"/>
        </w:rPr>
      </w:pPr>
    </w:p>
    <w:p w:rsidR="009B4BF2" w:rsidRDefault="009B4BF2" w:rsidP="00961717">
      <w:pPr>
        <w:rPr>
          <w:rFonts w:ascii="Arial" w:hAnsi="Arial" w:cs="Arial"/>
          <w:b/>
          <w:sz w:val="22"/>
          <w:szCs w:val="22"/>
          <w:u w:val="single"/>
        </w:rPr>
      </w:pPr>
      <w:r w:rsidRPr="00666DAC">
        <w:rPr>
          <w:rFonts w:ascii="Arial" w:hAnsi="Arial" w:cs="Arial"/>
          <w:b/>
          <w:sz w:val="22"/>
          <w:szCs w:val="22"/>
          <w:u w:val="single"/>
        </w:rPr>
        <w:t>Education Subcommittee</w:t>
      </w:r>
    </w:p>
    <w:p w:rsidR="008B648B" w:rsidRPr="00666DAC" w:rsidRDefault="008B648B" w:rsidP="00961717">
      <w:pPr>
        <w:rPr>
          <w:rFonts w:ascii="Arial" w:hAnsi="Arial" w:cs="Arial"/>
          <w:b/>
          <w:sz w:val="22"/>
          <w:szCs w:val="22"/>
          <w:u w:val="single"/>
        </w:rPr>
      </w:pPr>
    </w:p>
    <w:p w:rsidR="009B4BF2" w:rsidRPr="00666DAC" w:rsidRDefault="001B533C" w:rsidP="00961717">
      <w:pPr>
        <w:rPr>
          <w:rFonts w:ascii="Arial" w:hAnsi="Arial" w:cs="Arial"/>
          <w:sz w:val="22"/>
          <w:szCs w:val="22"/>
        </w:rPr>
      </w:pPr>
      <w:r>
        <w:rPr>
          <w:rFonts w:ascii="Arial" w:hAnsi="Arial" w:cs="Arial"/>
          <w:sz w:val="22"/>
          <w:szCs w:val="22"/>
        </w:rPr>
        <w:t xml:space="preserve"> The Education Subcommittee completed the draft report on education including </w:t>
      </w:r>
      <w:r w:rsidR="008B648B">
        <w:rPr>
          <w:rFonts w:ascii="Arial" w:hAnsi="Arial" w:cs="Arial"/>
          <w:sz w:val="22"/>
          <w:szCs w:val="22"/>
        </w:rPr>
        <w:t xml:space="preserve">formal </w:t>
      </w:r>
      <w:r>
        <w:rPr>
          <w:rFonts w:ascii="Arial" w:hAnsi="Arial" w:cs="Arial"/>
          <w:sz w:val="22"/>
          <w:szCs w:val="22"/>
        </w:rPr>
        <w:t xml:space="preserve">recommendations </w:t>
      </w:r>
      <w:r w:rsidR="00B10690">
        <w:rPr>
          <w:rFonts w:ascii="Arial" w:hAnsi="Arial" w:cs="Arial"/>
          <w:sz w:val="22"/>
          <w:szCs w:val="22"/>
        </w:rPr>
        <w:t xml:space="preserve">to be considered for </w:t>
      </w:r>
      <w:r w:rsidR="008B648B">
        <w:rPr>
          <w:rFonts w:ascii="Arial" w:hAnsi="Arial" w:cs="Arial"/>
          <w:sz w:val="22"/>
          <w:szCs w:val="22"/>
        </w:rPr>
        <w:t xml:space="preserve">planning </w:t>
      </w:r>
      <w:r>
        <w:rPr>
          <w:rFonts w:ascii="Arial" w:hAnsi="Arial" w:cs="Arial"/>
          <w:sz w:val="22"/>
          <w:szCs w:val="22"/>
        </w:rPr>
        <w:t>and the report was brought forward to the HPC Leadership Committee</w:t>
      </w:r>
      <w:r w:rsidR="008B648B">
        <w:rPr>
          <w:rFonts w:ascii="Arial" w:hAnsi="Arial" w:cs="Arial"/>
          <w:sz w:val="22"/>
          <w:szCs w:val="22"/>
        </w:rPr>
        <w:t xml:space="preserve">. The recommendations will be separated in to short and long term recommendations and a resources plan </w:t>
      </w:r>
      <w:r w:rsidR="00B10690">
        <w:rPr>
          <w:rFonts w:ascii="Arial" w:hAnsi="Arial" w:cs="Arial"/>
          <w:sz w:val="22"/>
          <w:szCs w:val="22"/>
        </w:rPr>
        <w:t>will be developed to support implementation.</w:t>
      </w:r>
    </w:p>
    <w:p w:rsidR="0032610B" w:rsidRPr="00666DAC" w:rsidRDefault="0032610B" w:rsidP="008B5BA4">
      <w:pPr>
        <w:rPr>
          <w:rFonts w:ascii="Arial" w:hAnsi="Arial" w:cs="Arial"/>
          <w:b/>
          <w:bCs/>
          <w:sz w:val="22"/>
          <w:szCs w:val="22"/>
          <w:u w:val="single"/>
        </w:rPr>
      </w:pPr>
    </w:p>
    <w:p w:rsidR="00666DAC" w:rsidRDefault="00B10690" w:rsidP="008B5BA4">
      <w:pPr>
        <w:rPr>
          <w:rFonts w:ascii="Arial" w:hAnsi="Arial" w:cs="Arial"/>
          <w:b/>
          <w:bCs/>
          <w:sz w:val="22"/>
          <w:szCs w:val="22"/>
          <w:u w:val="single"/>
        </w:rPr>
      </w:pPr>
      <w:r>
        <w:rPr>
          <w:rFonts w:ascii="Arial" w:hAnsi="Arial" w:cs="Arial"/>
          <w:b/>
          <w:bCs/>
          <w:sz w:val="22"/>
          <w:szCs w:val="22"/>
          <w:u w:val="single"/>
        </w:rPr>
        <w:t>Aboriginal Subcommittee</w:t>
      </w:r>
    </w:p>
    <w:p w:rsidR="00B10690" w:rsidRDefault="00B10690" w:rsidP="008B5BA4">
      <w:pPr>
        <w:rPr>
          <w:rFonts w:ascii="Arial" w:hAnsi="Arial" w:cs="Arial"/>
          <w:b/>
          <w:bCs/>
          <w:sz w:val="22"/>
          <w:szCs w:val="22"/>
          <w:u w:val="single"/>
        </w:rPr>
      </w:pPr>
    </w:p>
    <w:p w:rsidR="00B10690" w:rsidRPr="00B10690" w:rsidRDefault="00B10690" w:rsidP="008B5BA4">
      <w:pPr>
        <w:rPr>
          <w:rFonts w:ascii="Arial" w:hAnsi="Arial" w:cs="Arial"/>
          <w:bCs/>
          <w:sz w:val="22"/>
          <w:szCs w:val="22"/>
        </w:rPr>
      </w:pPr>
      <w:r w:rsidRPr="00B10690">
        <w:rPr>
          <w:rFonts w:ascii="Arial" w:hAnsi="Arial" w:cs="Arial"/>
          <w:bCs/>
          <w:sz w:val="22"/>
          <w:szCs w:val="22"/>
        </w:rPr>
        <w:t>The SOAHAC</w:t>
      </w:r>
      <w:r>
        <w:rPr>
          <w:rFonts w:ascii="Arial" w:hAnsi="Arial" w:cs="Arial"/>
          <w:bCs/>
          <w:sz w:val="22"/>
          <w:szCs w:val="22"/>
        </w:rPr>
        <w:t xml:space="preserve"> Aboriginal Needs Assessment for HPC Report was reviewed at HPC Leadership for discussion/information. The report will be shared with the sub-region </w:t>
      </w:r>
      <w:proofErr w:type="spellStart"/>
      <w:r>
        <w:rPr>
          <w:rFonts w:ascii="Arial" w:hAnsi="Arial" w:cs="Arial"/>
          <w:bCs/>
          <w:sz w:val="22"/>
          <w:szCs w:val="22"/>
        </w:rPr>
        <w:t>Collaboratives</w:t>
      </w:r>
      <w:proofErr w:type="spellEnd"/>
      <w:r>
        <w:rPr>
          <w:rFonts w:ascii="Arial" w:hAnsi="Arial" w:cs="Arial"/>
          <w:bCs/>
          <w:sz w:val="22"/>
          <w:szCs w:val="22"/>
        </w:rPr>
        <w:t xml:space="preserve"> in September.</w:t>
      </w:r>
    </w:p>
    <w:sectPr w:rsidR="00B10690" w:rsidRPr="00B1069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FB" w:rsidRDefault="001A1FFB" w:rsidP="00DE13B8">
      <w:r>
        <w:separator/>
      </w:r>
    </w:p>
  </w:endnote>
  <w:endnote w:type="continuationSeparator" w:id="0">
    <w:p w:rsidR="001A1FFB" w:rsidRDefault="001A1FFB"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FB" w:rsidRDefault="001A1FFB" w:rsidP="00DE13B8">
      <w:r>
        <w:separator/>
      </w:r>
    </w:p>
  </w:footnote>
  <w:footnote w:type="continuationSeparator" w:id="0">
    <w:p w:rsidR="001A1FFB" w:rsidRDefault="001A1FFB"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6"/>
  </w:num>
  <w:num w:numId="2">
    <w:abstractNumId w:val="17"/>
  </w:num>
  <w:num w:numId="3">
    <w:abstractNumId w:val="8"/>
  </w:num>
  <w:num w:numId="4">
    <w:abstractNumId w:val="15"/>
  </w:num>
  <w:num w:numId="5">
    <w:abstractNumId w:val="19"/>
  </w:num>
  <w:num w:numId="6">
    <w:abstractNumId w:val="20"/>
  </w:num>
  <w:num w:numId="7">
    <w:abstractNumId w:val="5"/>
  </w:num>
  <w:num w:numId="8">
    <w:abstractNumId w:val="21"/>
  </w:num>
  <w:num w:numId="9">
    <w:abstractNumId w:val="2"/>
  </w:num>
  <w:num w:numId="10">
    <w:abstractNumId w:val="6"/>
  </w:num>
  <w:num w:numId="11">
    <w:abstractNumId w:val="24"/>
  </w:num>
  <w:num w:numId="12">
    <w:abstractNumId w:val="23"/>
  </w:num>
  <w:num w:numId="13">
    <w:abstractNumId w:val="12"/>
  </w:num>
  <w:num w:numId="14">
    <w:abstractNumId w:val="7"/>
  </w:num>
  <w:num w:numId="15">
    <w:abstractNumId w:val="1"/>
  </w:num>
  <w:num w:numId="16">
    <w:abstractNumId w:val="1"/>
  </w:num>
  <w:num w:numId="17">
    <w:abstractNumId w:val="11"/>
  </w:num>
  <w:num w:numId="18">
    <w:abstractNumId w:val="10"/>
  </w:num>
  <w:num w:numId="19">
    <w:abstractNumId w:val="14"/>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5"/>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015D11"/>
    <w:rsid w:val="00026927"/>
    <w:rsid w:val="00032FD9"/>
    <w:rsid w:val="00050293"/>
    <w:rsid w:val="000613FC"/>
    <w:rsid w:val="000704DE"/>
    <w:rsid w:val="000769C8"/>
    <w:rsid w:val="00084722"/>
    <w:rsid w:val="000926FA"/>
    <w:rsid w:val="000A0F6F"/>
    <w:rsid w:val="000B716A"/>
    <w:rsid w:val="000D5BC0"/>
    <w:rsid w:val="000F4E6C"/>
    <w:rsid w:val="00105B78"/>
    <w:rsid w:val="00165BBE"/>
    <w:rsid w:val="00173277"/>
    <w:rsid w:val="0017752C"/>
    <w:rsid w:val="00187031"/>
    <w:rsid w:val="001A1FFB"/>
    <w:rsid w:val="001A4D5B"/>
    <w:rsid w:val="001B1095"/>
    <w:rsid w:val="001B533C"/>
    <w:rsid w:val="001D3132"/>
    <w:rsid w:val="001F1265"/>
    <w:rsid w:val="001F4AEA"/>
    <w:rsid w:val="002056DD"/>
    <w:rsid w:val="00207B19"/>
    <w:rsid w:val="00210DB8"/>
    <w:rsid w:val="00230E57"/>
    <w:rsid w:val="002328DD"/>
    <w:rsid w:val="002546A6"/>
    <w:rsid w:val="00266EBD"/>
    <w:rsid w:val="002722F1"/>
    <w:rsid w:val="00275F3B"/>
    <w:rsid w:val="00277A0C"/>
    <w:rsid w:val="00294250"/>
    <w:rsid w:val="00295BD2"/>
    <w:rsid w:val="00297762"/>
    <w:rsid w:val="002A41DC"/>
    <w:rsid w:val="002E21DC"/>
    <w:rsid w:val="002F0EA2"/>
    <w:rsid w:val="00303B32"/>
    <w:rsid w:val="003070D4"/>
    <w:rsid w:val="00313DDC"/>
    <w:rsid w:val="00315A77"/>
    <w:rsid w:val="00315D2D"/>
    <w:rsid w:val="00316599"/>
    <w:rsid w:val="0032610B"/>
    <w:rsid w:val="003308E2"/>
    <w:rsid w:val="0033393D"/>
    <w:rsid w:val="00353C7A"/>
    <w:rsid w:val="00375A44"/>
    <w:rsid w:val="0039228D"/>
    <w:rsid w:val="003A5DD3"/>
    <w:rsid w:val="003B3180"/>
    <w:rsid w:val="003D33F2"/>
    <w:rsid w:val="004067A7"/>
    <w:rsid w:val="0040688F"/>
    <w:rsid w:val="004236E8"/>
    <w:rsid w:val="00427C7B"/>
    <w:rsid w:val="004321F2"/>
    <w:rsid w:val="004607B8"/>
    <w:rsid w:val="00481EA0"/>
    <w:rsid w:val="00483340"/>
    <w:rsid w:val="00484B31"/>
    <w:rsid w:val="00491F24"/>
    <w:rsid w:val="004A0354"/>
    <w:rsid w:val="004D7FC2"/>
    <w:rsid w:val="004F4D31"/>
    <w:rsid w:val="00517BB3"/>
    <w:rsid w:val="005343C0"/>
    <w:rsid w:val="00540FEB"/>
    <w:rsid w:val="00547937"/>
    <w:rsid w:val="005537D2"/>
    <w:rsid w:val="005977A7"/>
    <w:rsid w:val="00597AFB"/>
    <w:rsid w:val="005B3AB3"/>
    <w:rsid w:val="005B5C5B"/>
    <w:rsid w:val="005D3DD7"/>
    <w:rsid w:val="005E0B5B"/>
    <w:rsid w:val="005E5C51"/>
    <w:rsid w:val="005E641B"/>
    <w:rsid w:val="006130F5"/>
    <w:rsid w:val="006133F7"/>
    <w:rsid w:val="006173BE"/>
    <w:rsid w:val="0061769A"/>
    <w:rsid w:val="00636F25"/>
    <w:rsid w:val="00646D32"/>
    <w:rsid w:val="0066468A"/>
    <w:rsid w:val="00666DAC"/>
    <w:rsid w:val="00676B1E"/>
    <w:rsid w:val="00692534"/>
    <w:rsid w:val="00696ACD"/>
    <w:rsid w:val="006D043E"/>
    <w:rsid w:val="006D6791"/>
    <w:rsid w:val="006E758A"/>
    <w:rsid w:val="006E7955"/>
    <w:rsid w:val="006F34CF"/>
    <w:rsid w:val="00706493"/>
    <w:rsid w:val="00713BD4"/>
    <w:rsid w:val="00727FDD"/>
    <w:rsid w:val="0073092B"/>
    <w:rsid w:val="007326F1"/>
    <w:rsid w:val="00754EC9"/>
    <w:rsid w:val="007604E2"/>
    <w:rsid w:val="007777D5"/>
    <w:rsid w:val="00783F86"/>
    <w:rsid w:val="00785C6C"/>
    <w:rsid w:val="00796489"/>
    <w:rsid w:val="007C5342"/>
    <w:rsid w:val="007D36FE"/>
    <w:rsid w:val="007F548A"/>
    <w:rsid w:val="00803D8A"/>
    <w:rsid w:val="008115ED"/>
    <w:rsid w:val="008124B2"/>
    <w:rsid w:val="00812805"/>
    <w:rsid w:val="008173D8"/>
    <w:rsid w:val="00824CF8"/>
    <w:rsid w:val="00827B9A"/>
    <w:rsid w:val="00842271"/>
    <w:rsid w:val="0088396C"/>
    <w:rsid w:val="008A0DC7"/>
    <w:rsid w:val="008B1206"/>
    <w:rsid w:val="008B5BA4"/>
    <w:rsid w:val="008B648B"/>
    <w:rsid w:val="008C3522"/>
    <w:rsid w:val="008D37E1"/>
    <w:rsid w:val="008E27E9"/>
    <w:rsid w:val="00901F32"/>
    <w:rsid w:val="009034BE"/>
    <w:rsid w:val="009058B4"/>
    <w:rsid w:val="00914D72"/>
    <w:rsid w:val="00921EEF"/>
    <w:rsid w:val="00934F39"/>
    <w:rsid w:val="00935C57"/>
    <w:rsid w:val="00941BD2"/>
    <w:rsid w:val="009512C3"/>
    <w:rsid w:val="00952F00"/>
    <w:rsid w:val="00961717"/>
    <w:rsid w:val="00972818"/>
    <w:rsid w:val="00977C1D"/>
    <w:rsid w:val="00984771"/>
    <w:rsid w:val="009A18AD"/>
    <w:rsid w:val="009B28A3"/>
    <w:rsid w:val="009B4BF2"/>
    <w:rsid w:val="009C4AA5"/>
    <w:rsid w:val="009D6769"/>
    <w:rsid w:val="009E0B36"/>
    <w:rsid w:val="009E6C90"/>
    <w:rsid w:val="009F0486"/>
    <w:rsid w:val="009F7F2E"/>
    <w:rsid w:val="00A07214"/>
    <w:rsid w:val="00A26E12"/>
    <w:rsid w:val="00A276CA"/>
    <w:rsid w:val="00A422B0"/>
    <w:rsid w:val="00A5478E"/>
    <w:rsid w:val="00A57F27"/>
    <w:rsid w:val="00A67D85"/>
    <w:rsid w:val="00AB3B68"/>
    <w:rsid w:val="00AB45F9"/>
    <w:rsid w:val="00AD5484"/>
    <w:rsid w:val="00AE2611"/>
    <w:rsid w:val="00AE6E20"/>
    <w:rsid w:val="00AF01F4"/>
    <w:rsid w:val="00AF79D3"/>
    <w:rsid w:val="00B02ABB"/>
    <w:rsid w:val="00B10690"/>
    <w:rsid w:val="00B154E5"/>
    <w:rsid w:val="00B2045B"/>
    <w:rsid w:val="00B60A34"/>
    <w:rsid w:val="00B95111"/>
    <w:rsid w:val="00BC2328"/>
    <w:rsid w:val="00BF020E"/>
    <w:rsid w:val="00C025DC"/>
    <w:rsid w:val="00C109A2"/>
    <w:rsid w:val="00C1585F"/>
    <w:rsid w:val="00C163EC"/>
    <w:rsid w:val="00C33A55"/>
    <w:rsid w:val="00C77B62"/>
    <w:rsid w:val="00C91EBE"/>
    <w:rsid w:val="00CA085D"/>
    <w:rsid w:val="00CA3763"/>
    <w:rsid w:val="00CA64FB"/>
    <w:rsid w:val="00CA748B"/>
    <w:rsid w:val="00CB76BC"/>
    <w:rsid w:val="00CD2131"/>
    <w:rsid w:val="00CD31DE"/>
    <w:rsid w:val="00CE04AF"/>
    <w:rsid w:val="00CF33B7"/>
    <w:rsid w:val="00D005DF"/>
    <w:rsid w:val="00D01721"/>
    <w:rsid w:val="00D13F18"/>
    <w:rsid w:val="00D46023"/>
    <w:rsid w:val="00D52940"/>
    <w:rsid w:val="00D7190A"/>
    <w:rsid w:val="00D7382F"/>
    <w:rsid w:val="00D831B1"/>
    <w:rsid w:val="00D87985"/>
    <w:rsid w:val="00DB1D36"/>
    <w:rsid w:val="00DB4FC9"/>
    <w:rsid w:val="00DB5487"/>
    <w:rsid w:val="00DC6D33"/>
    <w:rsid w:val="00DE13B8"/>
    <w:rsid w:val="00DE20A3"/>
    <w:rsid w:val="00E1563A"/>
    <w:rsid w:val="00E43DEB"/>
    <w:rsid w:val="00E908C1"/>
    <w:rsid w:val="00E962CC"/>
    <w:rsid w:val="00EB43E6"/>
    <w:rsid w:val="00EF2B70"/>
    <w:rsid w:val="00EF2BD8"/>
    <w:rsid w:val="00EF51B2"/>
    <w:rsid w:val="00EF6BD2"/>
    <w:rsid w:val="00F1684D"/>
    <w:rsid w:val="00F23F1F"/>
    <w:rsid w:val="00F30FFE"/>
    <w:rsid w:val="00F460BD"/>
    <w:rsid w:val="00F601CB"/>
    <w:rsid w:val="00F63A3E"/>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F32E6-868D-44B6-B8BC-09C60C9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545684160">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183398579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d11c96e-02d6-440f-a658-0f5809387797" ContentTypeId="0x010100F5CC782DE02E0A46B8583BABC5F01BA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3.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4.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5.xml><?xml version="1.0" encoding="utf-8"?>
<ds:datastoreItem xmlns:ds="http://schemas.openxmlformats.org/officeDocument/2006/customXml" ds:itemID="{8F9DA605-E1AF-4676-8050-3601134B31F7}">
  <ds:schemaRefs>
    <ds:schemaRef ds:uri="http://schemas.microsoft.com/office/2006/metadata/properties"/>
    <ds:schemaRef ds:uri="http://schemas.microsoft.com/office/infopath/2007/PartnerControls"/>
    <ds:schemaRef ds:uri="ace8a13e-82a4-4a5e-91b5-6f8894e54366"/>
    <ds:schemaRef ds:uri="77f56e56-7eb9-40f1-873e-f877521e69ba"/>
    <ds:schemaRef ds:uri="http://schemas.microsoft.com/sharepoint/v4"/>
    <ds:schemaRef ds:uri="a3d71736-a0a0-4c21-88c8-8a2a4e50cf95"/>
    <ds:schemaRef ds:uri="http://schemas.microsoft.com/sharepoint/v3"/>
  </ds:schemaRefs>
</ds:datastoreItem>
</file>

<file path=customXml/itemProps6.xml><?xml version="1.0" encoding="utf-8"?>
<ds:datastoreItem xmlns:ds="http://schemas.openxmlformats.org/officeDocument/2006/customXml" ds:itemID="{08F3D08D-F68E-4181-9A28-D19E1ABD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Gardner, Lisa</cp:lastModifiedBy>
  <cp:revision>2</cp:revision>
  <cp:lastPrinted>2014-07-16T23:57:00Z</cp:lastPrinted>
  <dcterms:created xsi:type="dcterms:W3CDTF">2016-06-28T17:21:00Z</dcterms:created>
  <dcterms:modified xsi:type="dcterms:W3CDTF">2016-06-28T17:21:00Z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